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  <w:r w:rsidRPr="00C87121">
        <w:rPr>
          <w:rFonts w:ascii="Century Gothic" w:hAnsi="Century Gothic" w:cs="Arial"/>
          <w:b/>
          <w:sz w:val="24"/>
          <w:szCs w:val="24"/>
        </w:rPr>
        <w:t>L’economia regionale nel 2018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>Nel 2018 la regione Emilia – Romagna è stata la locomotiva del paese, al primo posto tra le regioni italiane per crescita del PIL (+1,4%).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>Le previsioni dicono che sarà così anche nel 2019,</w:t>
      </w:r>
      <w:r>
        <w:rPr>
          <w:rFonts w:ascii="Century Gothic" w:hAnsi="Century Gothic" w:cs="Arial"/>
          <w:sz w:val="24"/>
          <w:szCs w:val="24"/>
        </w:rPr>
        <w:t xml:space="preserve"> pur con un rallentamento (+</w:t>
      </w:r>
      <w:r w:rsidRPr="00C87121">
        <w:rPr>
          <w:rFonts w:ascii="Century Gothic" w:hAnsi="Century Gothic" w:cs="Arial"/>
          <w:sz w:val="24"/>
          <w:szCs w:val="24"/>
        </w:rPr>
        <w:t>1,2%) del quale si leggono già i primi segnali guardando le performance dell</w:t>
      </w:r>
      <w:r w:rsidRPr="00C87121">
        <w:rPr>
          <w:rFonts w:ascii="Century Gothic" w:hAnsi="Century Gothic"/>
          <w:sz w:val="24"/>
          <w:szCs w:val="24"/>
        </w:rPr>
        <w:t>e imprese manifatturiere più piccole e di quelle artigiane.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Al 30 settembre 2018 le </w:t>
      </w:r>
      <w:r w:rsidRPr="00D0475F">
        <w:rPr>
          <w:rFonts w:ascii="Century Gothic" w:hAnsi="Century Gothic"/>
          <w:b/>
          <w:sz w:val="24"/>
          <w:szCs w:val="24"/>
        </w:rPr>
        <w:t>imprese attive in Emilia-Romagna</w:t>
      </w:r>
      <w:r w:rsidRPr="00C87121">
        <w:rPr>
          <w:rFonts w:ascii="Century Gothic" w:hAnsi="Century Gothic"/>
          <w:sz w:val="24"/>
          <w:szCs w:val="24"/>
        </w:rPr>
        <w:t xml:space="preserve"> erano poco meno di 405mila, 1.580 in meno rispetto allo stesso per</w:t>
      </w:r>
      <w:r>
        <w:rPr>
          <w:rFonts w:ascii="Century Gothic" w:hAnsi="Century Gothic"/>
          <w:sz w:val="24"/>
          <w:szCs w:val="24"/>
        </w:rPr>
        <w:t>iodo dell’anno precedente (-0,4%</w:t>
      </w:r>
      <w:r w:rsidRPr="00C87121">
        <w:rPr>
          <w:rFonts w:ascii="Century Gothic" w:hAnsi="Century Gothic"/>
          <w:sz w:val="24"/>
          <w:szCs w:val="24"/>
        </w:rPr>
        <w:t>), a fronte di un aumento del numero degl</w:t>
      </w:r>
      <w:r>
        <w:rPr>
          <w:rFonts w:ascii="Century Gothic" w:hAnsi="Century Gothic"/>
          <w:sz w:val="24"/>
          <w:szCs w:val="24"/>
        </w:rPr>
        <w:t>i addetti nelle imprese del 2,6%</w:t>
      </w:r>
      <w:r w:rsidRPr="00C87121">
        <w:rPr>
          <w:rFonts w:ascii="Century Gothic" w:hAnsi="Century Gothic"/>
          <w:sz w:val="24"/>
          <w:szCs w:val="24"/>
        </w:rPr>
        <w:t>. Una flessione che non va interpretata negativamente in quanto associata a una crescita occupazionale e, quindi, a un rafforzamento delle imprese esistenti.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Le </w:t>
      </w:r>
      <w:r w:rsidRPr="00C87121">
        <w:rPr>
          <w:rFonts w:ascii="Century Gothic" w:hAnsi="Century Gothic"/>
          <w:b/>
          <w:sz w:val="24"/>
          <w:szCs w:val="24"/>
        </w:rPr>
        <w:t>aziende straniere</w:t>
      </w:r>
      <w:r w:rsidRPr="00C87121">
        <w:rPr>
          <w:rFonts w:ascii="Century Gothic" w:hAnsi="Century Gothic"/>
          <w:sz w:val="24"/>
          <w:szCs w:val="24"/>
        </w:rPr>
        <w:t xml:space="preserve"> in Emilia-R</w:t>
      </w:r>
      <w:r>
        <w:rPr>
          <w:rFonts w:ascii="Century Gothic" w:hAnsi="Century Gothic"/>
          <w:sz w:val="24"/>
          <w:szCs w:val="24"/>
        </w:rPr>
        <w:t>omagna sono oltre 48mila, il 12%</w:t>
      </w:r>
      <w:r w:rsidRPr="00C87121">
        <w:rPr>
          <w:rFonts w:ascii="Century Gothic" w:hAnsi="Century Gothic"/>
          <w:sz w:val="24"/>
          <w:szCs w:val="24"/>
        </w:rPr>
        <w:t xml:space="preserve"> del total</w:t>
      </w:r>
      <w:r>
        <w:rPr>
          <w:rFonts w:ascii="Century Gothic" w:hAnsi="Century Gothic"/>
          <w:sz w:val="24"/>
          <w:szCs w:val="24"/>
        </w:rPr>
        <w:t>e delle imprese regionali, il 3%</w:t>
      </w:r>
      <w:r w:rsidRPr="00C87121">
        <w:rPr>
          <w:rFonts w:ascii="Century Gothic" w:hAnsi="Century Gothic"/>
          <w:sz w:val="24"/>
          <w:szCs w:val="24"/>
        </w:rPr>
        <w:t xml:space="preserve"> in più rispetto all’anno precedente. A fronte di un calo delle imprese con titolare italiano, prosegue la crescita degli stranieri che avviano un’attiv</w:t>
      </w:r>
      <w:r>
        <w:rPr>
          <w:rFonts w:ascii="Century Gothic" w:hAnsi="Century Gothic"/>
          <w:sz w:val="24"/>
          <w:szCs w:val="24"/>
        </w:rPr>
        <w:t>ità imprenditoriale.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>Molta dell’imprenditoria straniera si concentra nelle ditte individuali. Gli imprenditori con nazionalità estera maggiormente presenti in regione provengono dalla Cina, seguita dal Marocco e Albania.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Variazioni ancora negative per quanto riguarda le </w:t>
      </w:r>
      <w:r w:rsidRPr="00C87121">
        <w:rPr>
          <w:rFonts w:ascii="Century Gothic" w:hAnsi="Century Gothic"/>
          <w:b/>
          <w:sz w:val="24"/>
          <w:szCs w:val="24"/>
        </w:rPr>
        <w:t>imprese giovanili</w:t>
      </w:r>
      <w:r w:rsidRPr="00C87121">
        <w:rPr>
          <w:rFonts w:ascii="Century Gothic" w:hAnsi="Century Gothic"/>
          <w:sz w:val="24"/>
          <w:szCs w:val="24"/>
        </w:rPr>
        <w:t>, d</w:t>
      </w:r>
      <w:r>
        <w:rPr>
          <w:rFonts w:ascii="Century Gothic" w:hAnsi="Century Gothic"/>
          <w:sz w:val="24"/>
          <w:szCs w:val="24"/>
        </w:rPr>
        <w:t>iminuite nell’ultimo anno del 3%</w:t>
      </w:r>
      <w:r w:rsidRPr="00C87121">
        <w:rPr>
          <w:rFonts w:ascii="Century Gothic" w:hAnsi="Century Gothic"/>
          <w:sz w:val="24"/>
          <w:szCs w:val="24"/>
        </w:rPr>
        <w:t>. Il calo non deve essere letto come una maggior fragilità dei giovani imprenditori, se si guarda al solo saldo tra imprese giovanili nate e cessate il numero risulta positivo. A determinare il calo complessivo sono quelle imprese che per raggiunti limiti di età non rientrano più nei parametri delle giovanili.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I dati sulla </w:t>
      </w:r>
      <w:r w:rsidRPr="00D0475F">
        <w:rPr>
          <w:rFonts w:ascii="Century Gothic" w:hAnsi="Century Gothic"/>
          <w:b/>
          <w:sz w:val="24"/>
          <w:szCs w:val="24"/>
        </w:rPr>
        <w:t>demografia d’impresa</w:t>
      </w:r>
      <w:r w:rsidRPr="00C87121">
        <w:rPr>
          <w:rFonts w:ascii="Century Gothic" w:hAnsi="Century Gothic"/>
          <w:sz w:val="24"/>
          <w:szCs w:val="24"/>
        </w:rPr>
        <w:t xml:space="preserve"> suddivisi per </w:t>
      </w:r>
      <w:r w:rsidRPr="00D0475F">
        <w:rPr>
          <w:rFonts w:ascii="Century Gothic" w:hAnsi="Century Gothic"/>
          <w:sz w:val="24"/>
          <w:szCs w:val="24"/>
        </w:rPr>
        <w:t>settore</w:t>
      </w:r>
      <w:r w:rsidRPr="00C87121">
        <w:rPr>
          <w:rFonts w:ascii="Century Gothic" w:hAnsi="Century Gothic"/>
          <w:sz w:val="24"/>
          <w:szCs w:val="24"/>
        </w:rPr>
        <w:t xml:space="preserve"> confermano il trend degli ultimi anni, un sensibile calo del numero delle aziende nel comparto agricolo, una contrazione che seppur meno marcata caratterizza anche il commercio, le costruzioni e il manifatturiero. A crescere è il comparto “altro industria”, in particolare i settori operanti nell’ambito dell’energia, e il terziario.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>Accelera sensibilmente la tendenza positiva degli occupati che proseguirà anche nel 2019.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>Tra gennaio e settembre l’</w:t>
      </w:r>
      <w:r w:rsidRPr="00C87121">
        <w:rPr>
          <w:rFonts w:ascii="Century Gothic" w:hAnsi="Century Gothic" w:cs="Arial"/>
          <w:b/>
          <w:sz w:val="24"/>
          <w:szCs w:val="24"/>
        </w:rPr>
        <w:t>occupazione</w:t>
      </w:r>
      <w:r w:rsidRPr="00C87121">
        <w:rPr>
          <w:rFonts w:ascii="Century Gothic" w:hAnsi="Century Gothic" w:cs="Arial"/>
          <w:sz w:val="24"/>
          <w:szCs w:val="24"/>
        </w:rPr>
        <w:t xml:space="preserve"> dell’Emilia-Romagna è, infatti, mediamente ammontata a circa 2.004.000 persone, vale a dire circa 28.000 occupati in più rispetto all’analogo periodo del 2017, per un incremento dell’1,4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. 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D0475F">
        <w:rPr>
          <w:rFonts w:ascii="Century Gothic" w:hAnsi="Century Gothic" w:cs="Arial"/>
          <w:b/>
          <w:sz w:val="24"/>
          <w:szCs w:val="24"/>
        </w:rPr>
        <w:t>Dal punto di vista settoriale</w:t>
      </w:r>
      <w:r w:rsidRPr="00C87121">
        <w:rPr>
          <w:rFonts w:ascii="Century Gothic" w:hAnsi="Century Gothic" w:cs="Arial"/>
          <w:sz w:val="24"/>
          <w:szCs w:val="24"/>
        </w:rPr>
        <w:t xml:space="preserve"> gli addetti sono aumentati soprattutto nell’industria in senso stretto, crescita del 5,5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 equivalente a 28mila occupati in più. Il terziario ha creato 15mila nuovi posti di lavoro, di cui 8mila nel commercio, alloggio e ristorazione. Flessione nelle costruzioni (5mila addetti in meno) e nell’agricoltura (10mila addetti in meno). 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 xml:space="preserve">Le ore di </w:t>
      </w:r>
      <w:r w:rsidRPr="00D0475F">
        <w:rPr>
          <w:rFonts w:ascii="Century Gothic" w:hAnsi="Century Gothic" w:cs="Arial"/>
          <w:b/>
          <w:sz w:val="24"/>
          <w:szCs w:val="24"/>
        </w:rPr>
        <w:t>cassa integrazione</w:t>
      </w:r>
      <w:r w:rsidRPr="00C87121">
        <w:rPr>
          <w:rFonts w:ascii="Century Gothic" w:hAnsi="Century Gothic" w:cs="Arial"/>
          <w:b/>
          <w:sz w:val="24"/>
          <w:szCs w:val="24"/>
        </w:rPr>
        <w:t xml:space="preserve"> </w:t>
      </w:r>
      <w:r w:rsidRPr="00C87121">
        <w:rPr>
          <w:rFonts w:ascii="Century Gothic" w:hAnsi="Century Gothic" w:cs="Arial"/>
          <w:sz w:val="24"/>
          <w:szCs w:val="24"/>
        </w:rPr>
        <w:t xml:space="preserve">autorizzate nei primi 10 mesi del 2018 risultano in notevole contrazione rispetto allo stesso periodo del 2017 (quasi -50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). In diminuzione particolarmente forte le ore autorizzate per la cassa integrazione in deroga (-83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) ma sono notevoli le riduzioni riguardanti la cassa integrazione ordinaria (-21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) e quella straordinaria (-64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>). Ovviamente il dato della cassa integrazione risente dei cambiamenti normativi avvenuti durante l’anno.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Il </w:t>
      </w:r>
      <w:r w:rsidRPr="00D0475F">
        <w:rPr>
          <w:rFonts w:ascii="Century Gothic" w:hAnsi="Century Gothic"/>
          <w:b/>
          <w:sz w:val="24"/>
          <w:szCs w:val="24"/>
        </w:rPr>
        <w:t>tasso di disoccupazione</w:t>
      </w:r>
      <w:r w:rsidRPr="00C87121">
        <w:rPr>
          <w:rFonts w:ascii="Century Gothic" w:hAnsi="Century Gothic"/>
          <w:sz w:val="24"/>
          <w:szCs w:val="24"/>
        </w:rPr>
        <w:t xml:space="preserve">, </w:t>
      </w:r>
      <w:r w:rsidRPr="00C87121">
        <w:rPr>
          <w:rFonts w:ascii="Century Gothic" w:hAnsi="Century Gothic" w:cs="Arial"/>
          <w:sz w:val="24"/>
          <w:szCs w:val="24"/>
        </w:rPr>
        <w:t xml:space="preserve">che misura l’incidenza delle persone in cerca di occupazione sul totale delle forze di lavoro (cioè di coloro che hanno un lavoro o lo cercano attivamente) e </w:t>
      </w:r>
      <w:r w:rsidRPr="00C87121">
        <w:rPr>
          <w:rFonts w:ascii="Century Gothic" w:hAnsi="Century Gothic"/>
          <w:sz w:val="24"/>
          <w:szCs w:val="24"/>
        </w:rPr>
        <w:t>che aveva raggiunto il suo valore minimo nel 2008 fermandosi al 2,8% per toccare l’8,4% nel 2013, nel 2018 dovrebbe ridursi sensibilmente al 5,9% e scendere al 5,7% nel 2019.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 xml:space="preserve">Vale la pena evidenziare come, </w:t>
      </w:r>
      <w:r w:rsidRPr="00D0475F">
        <w:rPr>
          <w:rFonts w:ascii="Century Gothic" w:hAnsi="Century Gothic" w:cs="Arial"/>
          <w:b/>
          <w:sz w:val="24"/>
          <w:szCs w:val="24"/>
        </w:rPr>
        <w:t>dal punto di vista del genere</w:t>
      </w:r>
      <w:r w:rsidRPr="00C87121">
        <w:rPr>
          <w:rFonts w:ascii="Century Gothic" w:hAnsi="Century Gothic" w:cs="Arial"/>
          <w:sz w:val="24"/>
          <w:szCs w:val="24"/>
        </w:rPr>
        <w:t xml:space="preserve">, i buoni dati sull’occupazione dell’Emilia-Romagna derivano anche dall’elevata partecipazione al mercato del lavoro della componente femminile. 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 xml:space="preserve">Nei primi nove mesi dell’anno il tasso di occupazione femminile è stato del 62,7%, in crescita rispetto al passato e inferiore solo al valore della Valle d’Aosta e del Trentino Alto-Adige.  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>Il tasso di disoccupazione femminile in Emilia-Romagna nei primi nove mesi del 2018 si è attestato al 6,9% (5,5% nell’ultimo trimestre), in calo rispetto al 7,7% dello s</w:t>
      </w:r>
      <w:r>
        <w:rPr>
          <w:rFonts w:ascii="Century Gothic" w:hAnsi="Century Gothic" w:cs="Arial"/>
          <w:sz w:val="24"/>
          <w:szCs w:val="24"/>
        </w:rPr>
        <w:t>tesso periodo dell’anno passato.</w:t>
      </w:r>
    </w:p>
    <w:p w:rsidR="00ED387D" w:rsidRPr="00C87121" w:rsidRDefault="00ED387D" w:rsidP="00D0475F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Le </w:t>
      </w:r>
      <w:r w:rsidRPr="00D0475F">
        <w:rPr>
          <w:rFonts w:ascii="Century Gothic" w:hAnsi="Century Gothic"/>
          <w:sz w:val="24"/>
          <w:szCs w:val="24"/>
        </w:rPr>
        <w:t>imprese femminili</w:t>
      </w:r>
      <w:r w:rsidRPr="00C87121">
        <w:rPr>
          <w:rFonts w:ascii="Century Gothic" w:hAnsi="Century Gothic"/>
          <w:sz w:val="24"/>
          <w:szCs w:val="24"/>
        </w:rPr>
        <w:t xml:space="preserve"> costituiscono oltre un quinto del tessuto i</w:t>
      </w:r>
      <w:r>
        <w:rPr>
          <w:rFonts w:ascii="Century Gothic" w:hAnsi="Century Gothic"/>
          <w:sz w:val="24"/>
          <w:szCs w:val="24"/>
        </w:rPr>
        <w:t>mprenditoriale regionale, il 14%</w:t>
      </w:r>
      <w:r w:rsidRPr="00C87121">
        <w:rPr>
          <w:rFonts w:ascii="Century Gothic" w:hAnsi="Century Gothic"/>
          <w:sz w:val="24"/>
          <w:szCs w:val="24"/>
        </w:rPr>
        <w:t xml:space="preserve"> dell’occupazione; il numero delle imprese è rimasto pressoché invariato nell’anno in corso, mentre gli addetti afferenti a imprese femmini</w:t>
      </w:r>
      <w:r>
        <w:rPr>
          <w:rFonts w:ascii="Century Gothic" w:hAnsi="Century Gothic"/>
          <w:sz w:val="24"/>
          <w:szCs w:val="24"/>
        </w:rPr>
        <w:t>li sono aumentati di oltre il 2%</w:t>
      </w:r>
      <w:r w:rsidRPr="00C87121">
        <w:rPr>
          <w:rFonts w:ascii="Century Gothic" w:hAnsi="Century Gothic"/>
          <w:sz w:val="24"/>
          <w:szCs w:val="24"/>
        </w:rPr>
        <w:t>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Per quello che riguarda </w:t>
      </w:r>
      <w:r w:rsidRPr="00C87121">
        <w:rPr>
          <w:rFonts w:ascii="Century Gothic" w:hAnsi="Century Gothic"/>
          <w:b/>
          <w:sz w:val="24"/>
          <w:szCs w:val="24"/>
        </w:rPr>
        <w:t>l’industria in senso stretto</w:t>
      </w:r>
      <w:r w:rsidRPr="00C87121">
        <w:rPr>
          <w:rFonts w:ascii="Century Gothic" w:hAnsi="Century Gothic"/>
          <w:sz w:val="24"/>
          <w:szCs w:val="24"/>
        </w:rPr>
        <w:t>, dopo la grande crisi internazionale avviata nel 2007, la ripresa ha finalmente condotto alla più lunga fase di espansione della produzione industriale dal 2003: registriamo infatti quindici trimestri di crescita dell’attività industriale in Emilia-Romagna.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>Il valore più alto è stato raggiunto nel quarto trimestre del 2017, da allora la dinamica è stata sempre di segno positivo, ma di entità più contenuta. Il bilancio dei primi nove mesi del 2018 si chiude con un incremento del 2,2%. Meglio le imprese più grandi, qualche segnale di difficoltà si inizia a cogliere, come già dicevo, tra le aziende più piccole.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Le imprese attive nella sola manifattura sono 43.474, pari al 10,7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 totale e risultano in calo dello 0,5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negli ultimi dodici mesi. A settembre 2009 erano 50.203, pari al 11,7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 totale. Da allora la riduzione della base imprenditoriale subita è stata del 13,4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>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Ancora una volta il </w:t>
      </w:r>
      <w:r w:rsidRPr="00C87121">
        <w:rPr>
          <w:rFonts w:ascii="Century Gothic" w:hAnsi="Century Gothic"/>
          <w:b/>
          <w:sz w:val="24"/>
          <w:szCs w:val="24"/>
        </w:rPr>
        <w:t>commercio con l’estero</w:t>
      </w:r>
      <w:r w:rsidRPr="00C87121">
        <w:rPr>
          <w:rFonts w:ascii="Century Gothic" w:hAnsi="Century Gothic"/>
          <w:sz w:val="24"/>
          <w:szCs w:val="24"/>
        </w:rPr>
        <w:t xml:space="preserve"> ha giocato un ruolo fondamentale. Nei primi nove mesi del 2018, le esportazioni regionali di prodotti dell’industria manifatturiera hanno fatto segnare un aumento del 4,6%, rispetto allo stesso periodo dello scorso anno. La crescita risulta inferiore a quella del periodo gennaio – settembre 2017 (+6,0%), ma chiaramente superiore all’incremento del 3% nazionale.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Dal </w:t>
      </w:r>
      <w:r w:rsidRPr="00C87121">
        <w:rPr>
          <w:rFonts w:ascii="Century Gothic" w:hAnsi="Century Gothic"/>
          <w:b/>
          <w:sz w:val="24"/>
          <w:szCs w:val="24"/>
        </w:rPr>
        <w:t>punto di vista merceologico</w:t>
      </w:r>
      <w:r w:rsidRPr="00C87121">
        <w:rPr>
          <w:rFonts w:ascii="Century Gothic" w:hAnsi="Century Gothic"/>
          <w:sz w:val="24"/>
          <w:szCs w:val="24"/>
        </w:rPr>
        <w:t xml:space="preserve">, i settori che hanno fatto registrare i maggiori incrementi delle proprie esportazioni sono gli apparecchi elettronici ed ottici (+8,1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)i metalli ed i prodotti in metallo (+7,7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) e la meccanica (+5,1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). In calo il settore dei minerali non metalliferi (-3,6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), al cuni interno si trova la ceramica. L’alimentare e sistema moda crescono del 4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. 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Per quanto concerne </w:t>
      </w:r>
      <w:r w:rsidRPr="00C87121">
        <w:rPr>
          <w:rFonts w:ascii="Century Gothic" w:hAnsi="Century Gothic"/>
          <w:b/>
          <w:sz w:val="24"/>
          <w:szCs w:val="24"/>
        </w:rPr>
        <w:t>i mercati di sbocco</w:t>
      </w:r>
      <w:r w:rsidRPr="00C87121">
        <w:rPr>
          <w:rFonts w:ascii="Century Gothic" w:hAnsi="Century Gothic"/>
          <w:sz w:val="24"/>
          <w:szCs w:val="24"/>
        </w:rPr>
        <w:t xml:space="preserve">, la Germania si conferma il principale partner commerciale dell’Emilia-Romagna, quasi il 13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delle vendite all’estero delle imprese della nostra regione sono dirette in Germania. Il mercato nei primi nove mesi dell’anno è cresciuto del 6,1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. Al secondo posto la Francia (11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la quota, 5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la variazione) al terzo gli Stati Uniti, (10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la quota, 6,7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la variazione). Tra i primi 20 mercati a crescere maggiormente è il Regno Unito, +14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. Solo due Paesi dei primi venti hanno registrato una variazione export negativa, Russia (-1,5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) e Turchia (-15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>).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Per quello che riguarda </w:t>
      </w:r>
      <w:r w:rsidRPr="00C87121">
        <w:rPr>
          <w:rFonts w:ascii="Century Gothic" w:hAnsi="Century Gothic"/>
          <w:b/>
          <w:sz w:val="24"/>
          <w:szCs w:val="24"/>
        </w:rPr>
        <w:t>l’industria delle costruzioni</w:t>
      </w:r>
      <w:r w:rsidRPr="00C87121">
        <w:rPr>
          <w:rFonts w:ascii="Century Gothic" w:hAnsi="Century Gothic"/>
          <w:sz w:val="24"/>
          <w:szCs w:val="24"/>
        </w:rPr>
        <w:t xml:space="preserve">, dopo la fase recessiva di inizio decennio, dall’inizio del 2015 si sono succeduti quattro anni positivi, anche se non privi di incertezze. Il </w:t>
      </w:r>
      <w:r w:rsidRPr="00D0475F">
        <w:rPr>
          <w:rFonts w:ascii="Century Gothic" w:hAnsi="Century Gothic"/>
          <w:sz w:val="24"/>
          <w:szCs w:val="24"/>
        </w:rPr>
        <w:t>volume d’affari</w:t>
      </w:r>
      <w:r w:rsidRPr="00C87121">
        <w:rPr>
          <w:rFonts w:ascii="Century Gothic" w:hAnsi="Century Gothic"/>
          <w:sz w:val="24"/>
          <w:szCs w:val="24"/>
        </w:rPr>
        <w:t xml:space="preserve">, espresso a valori correnti, è aumentato dell’1,6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nei primi nove mesi del 2018, ben più di quanto era accaduto nello stesso periodo dell’anno precedente (+0,4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>). A differenza del manifatturiero, sono le imprese medio-piccola dimensione a registrare risultati migliori, in generale crescono di più le imprese che operano con i privati, in particolare per lavori di ristrutturazione, mentre faticano le società più attive sul fronte degli appalti pubblici.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A settembre le imprese attive delle costruzioni erano 65.739, vale a dire 587 in meno (-0,9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) rispetto allo stesso periodo dell’anno precedente. Costituiscono il 16,3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 totale delle imprese attive in regione. Continua a ridursi l’intensità della tendenza negativa, che risulta la più contenuta dal terzo trimestre 2011. A settembre 2009 erano 76.126, pari al 17,8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 totale. La perdita da allora risulta quindi del 13,6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>.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La consistenza delle imprese attive nei settori </w:t>
      </w:r>
      <w:r w:rsidRPr="00C87121">
        <w:rPr>
          <w:rFonts w:ascii="Century Gothic" w:hAnsi="Century Gothic"/>
          <w:b/>
          <w:sz w:val="24"/>
          <w:szCs w:val="24"/>
        </w:rPr>
        <w:t>dell'agricoltura, caccia, silvicoltura e pesca</w:t>
      </w:r>
      <w:r w:rsidRPr="00C87121">
        <w:rPr>
          <w:rFonts w:ascii="Century Gothic" w:hAnsi="Century Gothic"/>
          <w:sz w:val="24"/>
          <w:szCs w:val="24"/>
        </w:rPr>
        <w:t xml:space="preserve"> continua a seguire un pluriennale trend negativo che si è alleviato negli ultimi dodici mesi. A fine settembre 2018 risultava pari a 57.042 imprese, pari al 14,1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 totale delle imprese attive. La base imprenditoriale regionale si riduce di 1.010 unità (-1,7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), rispetto allo stesso mese dello scorso anno. 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In merito all’annata agricola in corso, fino al momento della chiusura del rapporto, non sono risultate disponibili stime del valore delle produzioni agricole dell'Emilia-Romagna elaborate dall'Assessorato Regionale Agricoltura; tuttavia, è possibile disporre di un insieme parziale di dati definitivi relativi alla produzione di alcune colture. 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Secondo i dati dell’Assessorato regionale, le colture del frumento chiudono l’annata con un bilancio negativo da un mero punto di vista quantitativo. Per le pesche e le nettarine i dati definitivi dell’Assessorato indicano un nuovo e più forte calo della produzione raccolta. 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Secondo i dati del Consorzio tutela del formaggio Grana Padano, la produzione piacentina tra gennaio e novembre è stata di poco più di 511 mila forme, l’11,4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 totale, con una flessione dell’1,1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sullo stesso periodo del 2017. Secondo i dati del Consorzio del formaggio Parmigiano-Reggiano, dopo due anni di incrementi superiori al 5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, la produzione ha ottenuto un nuovo ma più contenuto aumento rispetto all’anno precedente. La produzione regionale ha sfiorato i 3 milioni di forme (+1,1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). I contratti siglati tra gennaio e il novembre scorso hanno fatto registrare una quotazione media pari a €9,88/kg (+1,9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rispetto a quella dello stesso periodo del 2017), dopo due anni di incrementi superiori al 12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>. Si tratta delle quotazioni più elevate dal 2011.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D5D60">
        <w:rPr>
          <w:rFonts w:ascii="Century Gothic" w:hAnsi="Century Gothic"/>
          <w:sz w:val="24"/>
          <w:szCs w:val="24"/>
        </w:rPr>
        <w:t>I dati congiunturali</w:t>
      </w:r>
      <w:r w:rsidRPr="00C87121">
        <w:rPr>
          <w:rFonts w:ascii="Century Gothic" w:hAnsi="Century Gothic"/>
          <w:sz w:val="24"/>
          <w:szCs w:val="24"/>
        </w:rPr>
        <w:t xml:space="preserve"> confermano la dinamica negativa che caratterizza il </w:t>
      </w:r>
      <w:r w:rsidRPr="00C87121">
        <w:rPr>
          <w:rFonts w:ascii="Century Gothic" w:hAnsi="Century Gothic"/>
          <w:b/>
          <w:sz w:val="24"/>
          <w:szCs w:val="24"/>
        </w:rPr>
        <w:t>settore del commercio</w:t>
      </w:r>
      <w:r w:rsidRPr="00C87121">
        <w:rPr>
          <w:rFonts w:ascii="Century Gothic" w:hAnsi="Century Gothic"/>
          <w:sz w:val="24"/>
          <w:szCs w:val="24"/>
        </w:rPr>
        <w:t xml:space="preserve"> da ormai un decennio. Nei primi nove mesi del 2018 le vendite sono diminuite dell’1,8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>, con una dinamica che è andata peggiorando negli ultimi trimestri. Le ragioni sono molteplici, riguardano sicuramente il perdurare della crisi dei consumi e della domanda interna che stenta a ripartire, così come sulle dinamiche del settore incidono i cambiamenti nei comportamenti d’acquisto dei consumatori, a partire dagli acquisti on line. La fase recessiva riguarda tutte le tipologie commerciali e tutte le dimensioni, anche la grande distribuzione.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Al 30 settembre 2018 le imprese attive nel settore del commercio interno (al netto dell’alloggio e della ristorazione) erano 91.103 per un’occupazione superiore alle 300mila unità. Il comparto dell’alloggio e della ristorazione conta più di 30mila imprese con quasi 200mila addetti. Dunque, nel suo complesso, il settore vale il 30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 totale delle imprese della regione e il 27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dell’occupazione.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Commercio e ristorazione presentano dinamiche differenti, il commercio nell’ultimo anno ha visto ridursi la base imprenditoriale a fronte di una sostanziale tenuta dell’occupazione. Al contrario l’alloggio e ristorazione ha incrementato le imprese e, soprattutto, gli addetti, cresciuti del 6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nel solo ultimo anno.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Il </w:t>
      </w:r>
      <w:r w:rsidRPr="00C87121">
        <w:rPr>
          <w:rFonts w:ascii="Century Gothic" w:hAnsi="Century Gothic"/>
          <w:b/>
          <w:sz w:val="24"/>
          <w:szCs w:val="24"/>
        </w:rPr>
        <w:t>movimento turistico</w:t>
      </w:r>
      <w:r w:rsidRPr="00C87121">
        <w:rPr>
          <w:rFonts w:ascii="Century Gothic" w:hAnsi="Century Gothic"/>
          <w:sz w:val="24"/>
          <w:szCs w:val="24"/>
        </w:rPr>
        <w:t xml:space="preserve"> nelle strutture ricettive alberghiere ed extralberghiere dell’Emilia-Romagna viene rilevato dall’Osservatorio Turistico Regionale della Regione Emilia-Romagna e di Unioncamere Emilia-Romagna, realizzato in collaborazione con Trademark Italia.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L’industria turistica regionale chiude i primi dieci mesi del 2018 superando i 56 milioni di presenze turistiche, in aumento del 4,4% rispetto ai circa 54 milioni registrati nel 2017. Gli arrivi turistici salgono a 12,4 milioni, con una crescita del 6,4% rispetto agli 11,6 milioni del 2017. Tutti i comparti turistici della regione (Riviera, Città d’Arte e d’Affari, Montagna appenninica ed Altre località) registrano una performance positiva sia degli arrivi che delle presenze. 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>Per quanto riguarda la rilevazione delle provenienze del movimento turistico, il saldo positivo è prodotto dalla crescita sia della clientela nazionale (+5,8% di arrivi e +3,8% di presenze), sia di quella internazionale (+8,0% di arrivi e +6,3% di presenze).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 xml:space="preserve">La consistenza delle imprese attive nel </w:t>
      </w:r>
      <w:r w:rsidRPr="00CD5D60">
        <w:rPr>
          <w:rFonts w:ascii="Century Gothic" w:hAnsi="Century Gothic" w:cs="Arial"/>
          <w:b/>
          <w:sz w:val="24"/>
          <w:szCs w:val="24"/>
        </w:rPr>
        <w:t>settore dei trasporti e magazzinaggio</w:t>
      </w:r>
      <w:r w:rsidRPr="00C87121">
        <w:rPr>
          <w:rFonts w:ascii="Century Gothic" w:hAnsi="Century Gothic" w:cs="Arial"/>
          <w:sz w:val="24"/>
          <w:szCs w:val="24"/>
        </w:rPr>
        <w:t xml:space="preserve"> a settembre 2018 è apparsa in diminuzione rispetto allo stesso periodo dell’anno passato sia in Emilia-Romagna (-1,2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) sia a livello nazionale (-0,5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). Al contrario l’occupazione è risultata in aumento, +1,5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>).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La parte di gran lunga più consistente del </w:t>
      </w:r>
      <w:r w:rsidRPr="00C87121">
        <w:rPr>
          <w:rFonts w:ascii="Century Gothic" w:hAnsi="Century Gothic"/>
          <w:b/>
          <w:sz w:val="24"/>
          <w:szCs w:val="24"/>
        </w:rPr>
        <w:t>trasporto marittimo</w:t>
      </w:r>
      <w:r w:rsidRPr="00C87121">
        <w:rPr>
          <w:rFonts w:ascii="Century Gothic" w:hAnsi="Century Gothic"/>
          <w:sz w:val="24"/>
          <w:szCs w:val="24"/>
        </w:rPr>
        <w:t xml:space="preserve"> dell’Emilia-Romagna si svolge attraverso il porto di Ravenna. Secondo i dati Istat, (il cui ultimo aggiornamento disponibile è al 2016) lo scalo portuale ravennate ha rappresentato il 6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 movimento merci portuale italiano, occupando il terzo posto sui quarantatré porti italiani censiti, preceduto da Trieste e Genova e seguito da Livorno e Gioia Tauro.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Secondo i dati divulgati dall’Autorità portuale ravennate, nei primi dieci mesi del 2018 il movimento merci è ammontato a quasi 22 milioni e 53 mila tonnellate, vale a dire un valore leggermente superiore a quello registrato l’anno passato (+0,09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). Questo risultato è il saldo di andamenti differenziati registrati dalle diverse tipologie mi merci che transitano per il porto di Ravenna. 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In Emilia-Romagna, il </w:t>
      </w:r>
      <w:r w:rsidRPr="00C87121">
        <w:rPr>
          <w:rFonts w:ascii="Century Gothic" w:hAnsi="Century Gothic"/>
          <w:b/>
          <w:sz w:val="24"/>
          <w:szCs w:val="24"/>
        </w:rPr>
        <w:t>sistema aeroportuale</w:t>
      </w:r>
      <w:r w:rsidRPr="00C87121">
        <w:rPr>
          <w:rFonts w:ascii="Century Gothic" w:hAnsi="Century Gothic"/>
          <w:sz w:val="24"/>
          <w:szCs w:val="24"/>
        </w:rPr>
        <w:t xml:space="preserve"> ha mostrato un buon andamento – sia pur con risultati medi regionali inferiori al dato nazionale – in virtù soprattutto dell’ottimo andamento di Bologna che combina un traffico già elevato con un tasso di aumento abbondantemente positivo dei passeggeri (+2,5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in termini di passeggeri) a fronte di una contrazione del numero dei voli (aerei con maggiore capacità o più pieni) e del traffico merci. Sulla media regionale incide in termini positivi la ripresa delle attività dell’aeroporto di Rimini e la contrazione di quello di Parma (dove la diminuzione dei passeggeri si affianca ad un aumento dei voli). 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 xml:space="preserve">Secondo i dati provvisori forniti dalla Banca d’Italia, la consistenza dei </w:t>
      </w:r>
      <w:r w:rsidRPr="00C87121">
        <w:rPr>
          <w:rFonts w:ascii="Century Gothic" w:hAnsi="Century Gothic" w:cs="Arial"/>
          <w:b/>
          <w:sz w:val="24"/>
          <w:szCs w:val="24"/>
        </w:rPr>
        <w:t>prestiti bancari</w:t>
      </w:r>
      <w:r w:rsidRPr="00C87121">
        <w:rPr>
          <w:rFonts w:ascii="Century Gothic" w:hAnsi="Century Gothic" w:cs="Arial"/>
          <w:sz w:val="24"/>
          <w:szCs w:val="24"/>
        </w:rPr>
        <w:t xml:space="preserve"> concessi al complesso dell’economia regionale a fine settembre 2018 risulta in espansione dell’1,1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 rispetto allo stesso periodo dell’anno precedente (-0,4 l’anno passato). Dal punto di vista settoriale, continua l’espansione di quelli concessi alle famiglie consumatrici (+2,6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, +2,3 l’anno passato) mentre si registra una timida inversione di tendenza per la famiglie produttrici (+0,2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>, -1,9 l’anno passato).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 xml:space="preserve">Per quel che riguarda la </w:t>
      </w:r>
      <w:r w:rsidRPr="00C87121">
        <w:rPr>
          <w:rFonts w:ascii="Century Gothic" w:hAnsi="Century Gothic" w:cs="Arial"/>
          <w:b/>
          <w:sz w:val="24"/>
          <w:szCs w:val="24"/>
        </w:rPr>
        <w:t>qualità del credito</w:t>
      </w:r>
      <w:r w:rsidRPr="00C87121">
        <w:rPr>
          <w:rFonts w:ascii="Century Gothic" w:hAnsi="Century Gothic" w:cs="Arial"/>
          <w:sz w:val="24"/>
          <w:szCs w:val="24"/>
        </w:rPr>
        <w:t xml:space="preserve">, nei primi nove mesi del 2018 è proseguito il graduale miglioramento del credito erogato all’economia regionale. Più in particolare, il tasso di deterioramento  del credito registrato dalla Banca d’Italia a fine settembre  era pari 1,7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>, rispetto al 2,8 dell’anno passato.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 xml:space="preserve">I </w:t>
      </w:r>
      <w:r w:rsidRPr="00C87121">
        <w:rPr>
          <w:rFonts w:ascii="Century Gothic" w:hAnsi="Century Gothic" w:cs="Arial"/>
          <w:b/>
          <w:sz w:val="24"/>
          <w:szCs w:val="24"/>
        </w:rPr>
        <w:t>depositi bancari</w:t>
      </w:r>
      <w:r w:rsidRPr="00C87121">
        <w:rPr>
          <w:rFonts w:ascii="Century Gothic" w:hAnsi="Century Gothic" w:cs="Arial"/>
          <w:sz w:val="24"/>
          <w:szCs w:val="24"/>
        </w:rPr>
        <w:t xml:space="preserve"> di famiglie ed imprese sono cresciuti del 4,8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 (6,4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 l’anno passato) superando i 120 miliardi di euro. I depositi delle famiglie rappresentano la parte maggioritaria dell’aggregato (84,6 miliardi di euro) ed hanno registrato un aumento, a settembre, del 3,9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>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 w:cs="Arial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 xml:space="preserve">I </w:t>
      </w:r>
      <w:r w:rsidRPr="00C87121">
        <w:rPr>
          <w:rFonts w:ascii="Century Gothic" w:hAnsi="Century Gothic" w:cs="Arial"/>
          <w:b/>
          <w:sz w:val="24"/>
          <w:szCs w:val="24"/>
        </w:rPr>
        <w:t>rapporti tra banca ed impresa</w:t>
      </w:r>
      <w:r w:rsidRPr="00C87121">
        <w:rPr>
          <w:rFonts w:ascii="Century Gothic" w:hAnsi="Century Gothic" w:cs="Arial"/>
          <w:sz w:val="24"/>
          <w:szCs w:val="24"/>
        </w:rPr>
        <w:t xml:space="preserve"> in Emilia-Romagna, oggetto di analisi dell’Osservatorio sul credito di Unioncamere Emilia-Romagna, procedono nella lenta marcia verso il miglioramento. Nel corso di quest’anno i livelli di soddisfazione sono risultati in crescita per tutti i parametri analizzati, in particolare per gli strumenti finanziari a disposizione, per la quantità del credito offerto e per i tempi di valutazione delle richieste.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Il terzo trimestre del 2018 ha interrotto la fase di espansione della </w:t>
      </w:r>
      <w:r w:rsidRPr="00C87121">
        <w:rPr>
          <w:rFonts w:ascii="Century Gothic" w:hAnsi="Century Gothic"/>
          <w:b/>
          <w:sz w:val="24"/>
          <w:szCs w:val="24"/>
        </w:rPr>
        <w:t>produzione dell’artigianato manifatturiero</w:t>
      </w:r>
      <w:r w:rsidRPr="00C87121">
        <w:rPr>
          <w:rFonts w:ascii="Century Gothic" w:hAnsi="Century Gothic"/>
          <w:sz w:val="24"/>
          <w:szCs w:val="24"/>
        </w:rPr>
        <w:t xml:space="preserve"> durata nove trimestri. Nonostante la  flessione dello 0,8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nel terzo trimestre, i primi nove mesi dell’anno si chiudono </w:t>
      </w:r>
      <w:r w:rsidRPr="00C87121">
        <w:rPr>
          <w:rFonts w:ascii="Century Gothic" w:hAnsi="Century Gothic" w:cs="Arial"/>
          <w:sz w:val="24"/>
          <w:szCs w:val="24"/>
        </w:rPr>
        <w:t>con una variazione della</w:t>
      </w:r>
      <w:r w:rsidRPr="00C87121">
        <w:rPr>
          <w:rFonts w:ascii="Century Gothic" w:hAnsi="Century Gothic"/>
          <w:sz w:val="24"/>
          <w:szCs w:val="24"/>
        </w:rPr>
        <w:t xml:space="preserve"> produzione dello 0,6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>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Per l’artigianato delle </w:t>
      </w:r>
      <w:r w:rsidRPr="00C87121">
        <w:rPr>
          <w:rFonts w:ascii="Century Gothic" w:hAnsi="Century Gothic"/>
          <w:b/>
          <w:sz w:val="24"/>
          <w:szCs w:val="24"/>
        </w:rPr>
        <w:t>costruzioni</w:t>
      </w:r>
      <w:r w:rsidRPr="00C87121">
        <w:rPr>
          <w:rFonts w:ascii="Century Gothic" w:hAnsi="Century Gothic"/>
          <w:sz w:val="24"/>
          <w:szCs w:val="24"/>
        </w:rPr>
        <w:t xml:space="preserve"> la tendenza positiva instauratasi dal secondo trimestre 2017 si è protratta fino al terzo trimestre 2018 senza dare segni di rallentamento. Nei primi nove mesi dell’anno, il volume d’affari a prezzi correnti delle imprese artigiane delle costruzioni ha messo a segno un aumento dell’1,5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rispetto all’analogo periodo dell’anno precedente.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 w:cs="Arial"/>
          <w:sz w:val="24"/>
          <w:szCs w:val="24"/>
        </w:rPr>
        <w:t xml:space="preserve">La </w:t>
      </w:r>
      <w:r w:rsidRPr="00C87121">
        <w:rPr>
          <w:rFonts w:ascii="Century Gothic" w:hAnsi="Century Gothic" w:cs="Arial"/>
          <w:b/>
          <w:sz w:val="24"/>
          <w:szCs w:val="24"/>
        </w:rPr>
        <w:t>base imprenditoriale</w:t>
      </w:r>
      <w:r w:rsidRPr="00C87121">
        <w:rPr>
          <w:rFonts w:ascii="Century Gothic" w:hAnsi="Century Gothic" w:cs="Arial"/>
          <w:sz w:val="24"/>
          <w:szCs w:val="24"/>
        </w:rPr>
        <w:t xml:space="preserve"> dell’artigianato dell’Emilia-Romagna consiste a fine settembre 2018 di 127.611 imprese attive, vale a dire 1.251 imprese in meno (-1,0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 xml:space="preserve">) rispetto allo stesso mese dell’anno precedente, con una flessione leggermente più contenuta rispetto a quella riferita allo stesso periodo del 2017 (-1,2 </w:t>
      </w:r>
      <w:r>
        <w:rPr>
          <w:rFonts w:ascii="Century Gothic" w:hAnsi="Century Gothic" w:cs="Arial"/>
          <w:sz w:val="24"/>
          <w:szCs w:val="24"/>
        </w:rPr>
        <w:t>%</w:t>
      </w:r>
      <w:r w:rsidRPr="00C87121">
        <w:rPr>
          <w:rFonts w:ascii="Century Gothic" w:hAnsi="Century Gothic" w:cs="Arial"/>
          <w:sz w:val="24"/>
          <w:szCs w:val="24"/>
        </w:rPr>
        <w:t>).</w:t>
      </w:r>
    </w:p>
    <w:p w:rsidR="00ED387D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Al 30 settembre 2018 le </w:t>
      </w:r>
      <w:r w:rsidRPr="00C87121">
        <w:rPr>
          <w:rFonts w:ascii="Century Gothic" w:hAnsi="Century Gothic"/>
          <w:b/>
          <w:sz w:val="24"/>
          <w:szCs w:val="24"/>
        </w:rPr>
        <w:t>cooperative attive</w:t>
      </w:r>
      <w:r w:rsidRPr="00C87121">
        <w:rPr>
          <w:rFonts w:ascii="Century Gothic" w:hAnsi="Century Gothic"/>
          <w:sz w:val="24"/>
          <w:szCs w:val="24"/>
        </w:rPr>
        <w:t xml:space="preserve"> in regione erano poco più di 5mila, gli addetti quasi 250mila pari al 14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 totale regionale, Oltre 40 miliardi il  fatturato. 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Dal punto di vista numerico le cooperative sono diminuite dell’1,7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rispetto all’anno precedente. Solamente tre i settori dove la cooperazione acquisisce nuove società, l’industria manifatturiera, l’alloggio e ristorazione e i servizi alle persone.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>L’</w:t>
      </w:r>
      <w:r w:rsidRPr="00C87121">
        <w:rPr>
          <w:rFonts w:ascii="Century Gothic" w:hAnsi="Century Gothic"/>
          <w:b/>
          <w:sz w:val="24"/>
          <w:szCs w:val="24"/>
        </w:rPr>
        <w:t>occupazione cooperativa</w:t>
      </w:r>
      <w:r w:rsidRPr="00C87121">
        <w:rPr>
          <w:rFonts w:ascii="Century Gothic" w:hAnsi="Century Gothic"/>
          <w:sz w:val="24"/>
          <w:szCs w:val="24"/>
        </w:rPr>
        <w:t xml:space="preserve"> mostra una dinamica positiva, seppur contenuta, 0,6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>. Cala l’occupazione nell’agroalimentare, nell’industria in senso stretto e nella logistica, cresce negli altri comparti</w:t>
      </w:r>
    </w:p>
    <w:p w:rsidR="00ED387D" w:rsidRPr="00C87121" w:rsidRDefault="00ED387D" w:rsidP="00A0427D">
      <w:pPr>
        <w:spacing w:after="200" w:line="276" w:lineRule="auto"/>
        <w:ind w:firstLine="0"/>
        <w:rPr>
          <w:rFonts w:ascii="Century Gothic" w:hAnsi="Century Gothic"/>
          <w:sz w:val="24"/>
          <w:szCs w:val="24"/>
        </w:rPr>
      </w:pPr>
      <w:r w:rsidRPr="00C87121">
        <w:rPr>
          <w:rFonts w:ascii="Century Gothic" w:hAnsi="Century Gothic"/>
          <w:sz w:val="24"/>
          <w:szCs w:val="24"/>
        </w:rPr>
        <w:t xml:space="preserve">Nella logistica la cooperazione crea il 38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dell’occupazione regionale, percentuale che scende al 34 </w:t>
      </w:r>
      <w:r>
        <w:rPr>
          <w:rFonts w:ascii="Century Gothic" w:hAnsi="Century Gothic"/>
          <w:sz w:val="24"/>
          <w:szCs w:val="24"/>
        </w:rPr>
        <w:t>%</w:t>
      </w:r>
      <w:r w:rsidRPr="00C87121">
        <w:rPr>
          <w:rFonts w:ascii="Century Gothic" w:hAnsi="Century Gothic"/>
          <w:sz w:val="24"/>
          <w:szCs w:val="24"/>
        </w:rPr>
        <w:t xml:space="preserve"> per i servizi alle persone. Sono oltre 50mila gli occupati che operano all’interno di cooperative sociali.</w:t>
      </w:r>
    </w:p>
    <w:sectPr w:rsidR="00ED387D" w:rsidRPr="00C87121" w:rsidSect="00A0427D">
      <w:headerReference w:type="default" r:id="rId7"/>
      <w:footerReference w:type="default" r:id="rId8"/>
      <w:footnotePr>
        <w:numRestart w:val="eachSect"/>
      </w:footnotePr>
      <w:pgSz w:w="11907" w:h="16840" w:code="9"/>
      <w:pgMar w:top="1417" w:right="1134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7D" w:rsidRDefault="00ED387D">
      <w:r>
        <w:separator/>
      </w:r>
    </w:p>
    <w:p w:rsidR="00ED387D" w:rsidRDefault="00ED387D"/>
  </w:endnote>
  <w:endnote w:type="continuationSeparator" w:id="0">
    <w:p w:rsidR="00ED387D" w:rsidRDefault="00ED387D">
      <w:r>
        <w:continuationSeparator/>
      </w:r>
    </w:p>
    <w:p w:rsidR="00ED387D" w:rsidRDefault="00ED38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7D" w:rsidRDefault="00ED387D" w:rsidP="00C87121">
    <w:pPr>
      <w:pStyle w:val="Pidipaginacorsivo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7D" w:rsidRDefault="00ED387D">
      <w:r>
        <w:separator/>
      </w:r>
    </w:p>
    <w:p w:rsidR="00ED387D" w:rsidRDefault="00ED387D"/>
  </w:footnote>
  <w:footnote w:type="continuationSeparator" w:id="0">
    <w:p w:rsidR="00ED387D" w:rsidRDefault="00ED387D">
      <w:r>
        <w:continuationSeparator/>
      </w:r>
    </w:p>
    <w:p w:rsidR="00ED387D" w:rsidRDefault="00ED38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7D" w:rsidRDefault="00ED387D" w:rsidP="009D094D">
    <w:pPr>
      <w:framePr w:wrap="around" w:vAnchor="text" w:hAnchor="margin" w:xAlign="outside" w:y="1"/>
      <w:ind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ED387D" w:rsidRDefault="00ED387D" w:rsidP="00541FB1">
    <w:pPr>
      <w:pStyle w:val="Intestazionecorsiv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C6F"/>
    <w:multiLevelType w:val="hybridMultilevel"/>
    <w:tmpl w:val="015A29D4"/>
    <w:lvl w:ilvl="0" w:tplc="0410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0BA5621B"/>
    <w:multiLevelType w:val="hybridMultilevel"/>
    <w:tmpl w:val="F95A8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933E2"/>
    <w:multiLevelType w:val="hybridMultilevel"/>
    <w:tmpl w:val="5442C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attachedTemplate r:id="rId1"/>
  <w:stylePaneFormatFilter w:val="3F01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B21"/>
    <w:rsid w:val="000355D6"/>
    <w:rsid w:val="00055D4D"/>
    <w:rsid w:val="000621FA"/>
    <w:rsid w:val="000735D4"/>
    <w:rsid w:val="000A136F"/>
    <w:rsid w:val="000F09B4"/>
    <w:rsid w:val="0014540F"/>
    <w:rsid w:val="0014543C"/>
    <w:rsid w:val="0016238A"/>
    <w:rsid w:val="001D0456"/>
    <w:rsid w:val="001D1272"/>
    <w:rsid w:val="001E22D5"/>
    <w:rsid w:val="00217E09"/>
    <w:rsid w:val="0023194D"/>
    <w:rsid w:val="002A2AE9"/>
    <w:rsid w:val="002F0B21"/>
    <w:rsid w:val="00334C28"/>
    <w:rsid w:val="003351D9"/>
    <w:rsid w:val="003F3E0D"/>
    <w:rsid w:val="00416264"/>
    <w:rsid w:val="00475E64"/>
    <w:rsid w:val="004D5DA3"/>
    <w:rsid w:val="00503C1B"/>
    <w:rsid w:val="00521119"/>
    <w:rsid w:val="00537422"/>
    <w:rsid w:val="00541FB1"/>
    <w:rsid w:val="005542F1"/>
    <w:rsid w:val="00562C51"/>
    <w:rsid w:val="00591512"/>
    <w:rsid w:val="005B1DC4"/>
    <w:rsid w:val="006225A6"/>
    <w:rsid w:val="00646138"/>
    <w:rsid w:val="00662967"/>
    <w:rsid w:val="006B25D9"/>
    <w:rsid w:val="006F328F"/>
    <w:rsid w:val="00732FE2"/>
    <w:rsid w:val="00736E99"/>
    <w:rsid w:val="00743922"/>
    <w:rsid w:val="007709BA"/>
    <w:rsid w:val="00790A98"/>
    <w:rsid w:val="007C32E7"/>
    <w:rsid w:val="008001B1"/>
    <w:rsid w:val="00803B1C"/>
    <w:rsid w:val="0083021E"/>
    <w:rsid w:val="0088719E"/>
    <w:rsid w:val="00894D51"/>
    <w:rsid w:val="008A63A9"/>
    <w:rsid w:val="008F762B"/>
    <w:rsid w:val="009135F2"/>
    <w:rsid w:val="00927E9E"/>
    <w:rsid w:val="009439FA"/>
    <w:rsid w:val="00986FFE"/>
    <w:rsid w:val="009A23DE"/>
    <w:rsid w:val="009D094D"/>
    <w:rsid w:val="00A00815"/>
    <w:rsid w:val="00A0427D"/>
    <w:rsid w:val="00A226D3"/>
    <w:rsid w:val="00A33FD6"/>
    <w:rsid w:val="00A46FD8"/>
    <w:rsid w:val="00A55598"/>
    <w:rsid w:val="00AA1FA2"/>
    <w:rsid w:val="00AD3962"/>
    <w:rsid w:val="00B0117D"/>
    <w:rsid w:val="00B300CF"/>
    <w:rsid w:val="00B35634"/>
    <w:rsid w:val="00B37865"/>
    <w:rsid w:val="00B619D2"/>
    <w:rsid w:val="00B662BC"/>
    <w:rsid w:val="00B74896"/>
    <w:rsid w:val="00B74DF1"/>
    <w:rsid w:val="00B90F0D"/>
    <w:rsid w:val="00BC44A1"/>
    <w:rsid w:val="00BD7ED5"/>
    <w:rsid w:val="00BE295A"/>
    <w:rsid w:val="00BE5A08"/>
    <w:rsid w:val="00BF4352"/>
    <w:rsid w:val="00C40E72"/>
    <w:rsid w:val="00C87121"/>
    <w:rsid w:val="00C971BF"/>
    <w:rsid w:val="00CB1733"/>
    <w:rsid w:val="00CD5D60"/>
    <w:rsid w:val="00CF17A0"/>
    <w:rsid w:val="00D0475F"/>
    <w:rsid w:val="00D476D8"/>
    <w:rsid w:val="00D54DD5"/>
    <w:rsid w:val="00D7241C"/>
    <w:rsid w:val="00D8220A"/>
    <w:rsid w:val="00E45E5F"/>
    <w:rsid w:val="00E678F3"/>
    <w:rsid w:val="00E743E6"/>
    <w:rsid w:val="00E85754"/>
    <w:rsid w:val="00ED387D"/>
    <w:rsid w:val="00ED3E7E"/>
    <w:rsid w:val="00ED57DC"/>
    <w:rsid w:val="00EF0519"/>
    <w:rsid w:val="00F3247C"/>
    <w:rsid w:val="00F45E49"/>
    <w:rsid w:val="00F47AE7"/>
    <w:rsid w:val="00F61994"/>
    <w:rsid w:val="00F81090"/>
    <w:rsid w:val="00FF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D5"/>
    <w:pPr>
      <w:spacing w:line="240" w:lineRule="atLeast"/>
      <w:ind w:firstLine="227"/>
      <w:jc w:val="both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646138"/>
    <w:pPr>
      <w:keepNext/>
      <w:keepLines/>
      <w:tabs>
        <w:tab w:val="left" w:pos="851"/>
      </w:tabs>
      <w:spacing w:after="1680"/>
      <w:ind w:left="851" w:hanging="851"/>
      <w:jc w:val="left"/>
      <w:outlineLvl w:val="0"/>
    </w:pPr>
    <w:rPr>
      <w:b/>
      <w:color w:val="800000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762B"/>
    <w:pPr>
      <w:keepNext/>
      <w:keepLines/>
      <w:tabs>
        <w:tab w:val="left" w:pos="737"/>
      </w:tabs>
      <w:spacing w:before="480" w:after="240"/>
      <w:ind w:left="737" w:hanging="737"/>
      <w:jc w:val="left"/>
      <w:outlineLvl w:val="1"/>
    </w:pPr>
    <w:rPr>
      <w:b/>
      <w:color w:val="80000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61994"/>
    <w:pPr>
      <w:tabs>
        <w:tab w:val="clear" w:pos="737"/>
        <w:tab w:val="left" w:pos="851"/>
      </w:tabs>
      <w:ind w:left="851" w:hanging="851"/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475E64"/>
    <w:pPr>
      <w:tabs>
        <w:tab w:val="clear" w:pos="851"/>
        <w:tab w:val="left" w:pos="1021"/>
      </w:tabs>
      <w:spacing w:before="240" w:after="0"/>
      <w:ind w:left="1021" w:hanging="1021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3FD6"/>
    <w:rPr>
      <w:rFonts w:ascii="Arial" w:hAnsi="Arial" w:cs="Times New Roman"/>
      <w:b/>
      <w:color w:val="800000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45E5F"/>
    <w:rPr>
      <w:rFonts w:ascii="Arial" w:hAnsi="Arial" w:cs="Times New Roman"/>
      <w:b/>
      <w:color w:val="8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1E22D5"/>
    <w:pPr>
      <w:spacing w:before="60" w:line="20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6238A"/>
    <w:rPr>
      <w:rFonts w:ascii="Arial" w:hAnsi="Arial"/>
      <w:sz w:val="16"/>
    </w:rPr>
  </w:style>
  <w:style w:type="paragraph" w:styleId="NormalIndent">
    <w:name w:val="Normal Indent"/>
    <w:basedOn w:val="Normal"/>
    <w:uiPriority w:val="99"/>
    <w:rsid w:val="001E22D5"/>
    <w:pPr>
      <w:ind w:left="567" w:hanging="340"/>
    </w:pPr>
  </w:style>
  <w:style w:type="paragraph" w:customStyle="1" w:styleId="Figure">
    <w:name w:val="Figure"/>
    <w:basedOn w:val="Normal"/>
    <w:next w:val="Normal"/>
    <w:uiPriority w:val="99"/>
    <w:rsid w:val="00521119"/>
    <w:pPr>
      <w:keepLines/>
      <w:spacing w:line="240" w:lineRule="auto"/>
      <w:ind w:firstLine="0"/>
      <w:jc w:val="center"/>
    </w:pPr>
    <w:rPr>
      <w:sz w:val="16"/>
    </w:rPr>
  </w:style>
  <w:style w:type="paragraph" w:customStyle="1" w:styleId="FigTitolo">
    <w:name w:val="Fig Titolo"/>
    <w:basedOn w:val="TabTitolo"/>
    <w:uiPriority w:val="99"/>
    <w:rsid w:val="00537422"/>
    <w:pPr>
      <w:spacing w:after="0"/>
    </w:pPr>
  </w:style>
  <w:style w:type="paragraph" w:styleId="Header">
    <w:name w:val="header"/>
    <w:basedOn w:val="Normal"/>
    <w:link w:val="HeaderChar"/>
    <w:uiPriority w:val="99"/>
    <w:rsid w:val="00B662BC"/>
    <w:pPr>
      <w:tabs>
        <w:tab w:val="center" w:pos="4819"/>
        <w:tab w:val="right" w:pos="9638"/>
      </w:tabs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62BC"/>
    <w:rPr>
      <w:rFonts w:ascii="Arial" w:hAnsi="Arial"/>
    </w:rPr>
  </w:style>
  <w:style w:type="paragraph" w:customStyle="1" w:styleId="TabSeparazioni">
    <w:name w:val="Tab Separazioni"/>
    <w:basedOn w:val="Normal"/>
    <w:uiPriority w:val="99"/>
    <w:rsid w:val="00ED3E7E"/>
    <w:pPr>
      <w:keepNext/>
      <w:keepLines/>
      <w:spacing w:before="80" w:line="240" w:lineRule="auto"/>
      <w:ind w:firstLine="0"/>
      <w:jc w:val="left"/>
    </w:pPr>
    <w:rPr>
      <w:b/>
      <w:sz w:val="16"/>
    </w:rPr>
  </w:style>
  <w:style w:type="paragraph" w:customStyle="1" w:styleId="TabNumInferiori">
    <w:name w:val="Tab Num Inferiori"/>
    <w:basedOn w:val="TabNumeri"/>
    <w:uiPriority w:val="99"/>
    <w:rsid w:val="00BF4352"/>
    <w:pPr>
      <w:spacing w:after="40"/>
    </w:pPr>
  </w:style>
  <w:style w:type="paragraph" w:customStyle="1" w:styleId="TabNumeri">
    <w:name w:val="Tab Numeri"/>
    <w:basedOn w:val="Normal"/>
    <w:uiPriority w:val="99"/>
    <w:rsid w:val="00B300CF"/>
    <w:pPr>
      <w:keepLines/>
      <w:spacing w:line="240" w:lineRule="auto"/>
      <w:ind w:firstLine="0"/>
      <w:jc w:val="right"/>
    </w:pPr>
    <w:rPr>
      <w:sz w:val="16"/>
    </w:rPr>
  </w:style>
  <w:style w:type="paragraph" w:customStyle="1" w:styleId="TabTitolo">
    <w:name w:val="Tab Titolo"/>
    <w:basedOn w:val="Normal"/>
    <w:uiPriority w:val="99"/>
    <w:rsid w:val="00A226D3"/>
    <w:pPr>
      <w:keepNext/>
      <w:keepLines/>
      <w:tabs>
        <w:tab w:val="left" w:pos="907"/>
      </w:tabs>
      <w:spacing w:after="80" w:line="240" w:lineRule="auto"/>
      <w:ind w:left="907" w:hanging="907"/>
      <w:jc w:val="left"/>
    </w:pPr>
    <w:rPr>
      <w:i/>
      <w:color w:val="800000"/>
      <w:sz w:val="16"/>
    </w:rPr>
  </w:style>
  <w:style w:type="paragraph" w:customStyle="1" w:styleId="TabNoteSuperiori">
    <w:name w:val="Tab Note Superiori"/>
    <w:basedOn w:val="Normal"/>
    <w:uiPriority w:val="99"/>
    <w:rsid w:val="00B300CF"/>
    <w:pPr>
      <w:keepLines/>
      <w:spacing w:before="60" w:line="240" w:lineRule="auto"/>
      <w:ind w:firstLine="0"/>
    </w:pPr>
    <w:rPr>
      <w:sz w:val="16"/>
    </w:rPr>
  </w:style>
  <w:style w:type="paragraph" w:customStyle="1" w:styleId="TabNoteInferiori">
    <w:name w:val="Tab Note Inferiori"/>
    <w:basedOn w:val="TabNoteSuperiori"/>
    <w:uiPriority w:val="99"/>
    <w:rsid w:val="001E22D5"/>
    <w:pPr>
      <w:spacing w:before="0"/>
    </w:pPr>
  </w:style>
  <w:style w:type="paragraph" w:customStyle="1" w:styleId="TabIntestazioni">
    <w:name w:val="Tab Intestazioni"/>
    <w:basedOn w:val="Normal"/>
    <w:uiPriority w:val="99"/>
    <w:rsid w:val="00B300CF"/>
    <w:pPr>
      <w:keepNext/>
      <w:keepLines/>
      <w:spacing w:before="80" w:after="80" w:line="240" w:lineRule="auto"/>
      <w:ind w:firstLine="0"/>
      <w:jc w:val="center"/>
    </w:pPr>
    <w:rPr>
      <w:i/>
      <w:sz w:val="16"/>
    </w:rPr>
  </w:style>
  <w:style w:type="paragraph" w:customStyle="1" w:styleId="TabIntestaSup">
    <w:name w:val="Tab Intesta Sup"/>
    <w:basedOn w:val="TabIntestazioni"/>
    <w:uiPriority w:val="99"/>
    <w:rsid w:val="001E22D5"/>
    <w:pPr>
      <w:spacing w:before="60" w:after="20"/>
    </w:pPr>
  </w:style>
  <w:style w:type="paragraph" w:customStyle="1" w:styleId="TabIntestaSupBordo">
    <w:name w:val="Tab Intesta Sup Bordo"/>
    <w:basedOn w:val="TabIntestaSup"/>
    <w:uiPriority w:val="99"/>
    <w:rsid w:val="001E22D5"/>
    <w:pPr>
      <w:pBdr>
        <w:bottom w:val="single" w:sz="4" w:space="1" w:color="auto"/>
      </w:pBdr>
      <w:ind w:left="57" w:right="57"/>
    </w:pPr>
  </w:style>
  <w:style w:type="paragraph" w:customStyle="1" w:styleId="TabIntestaInf">
    <w:name w:val="Tab Intesta Inf"/>
    <w:basedOn w:val="TabIntestazioni"/>
    <w:uiPriority w:val="99"/>
    <w:rsid w:val="001E22D5"/>
    <w:pPr>
      <w:spacing w:before="0" w:after="60"/>
    </w:pPr>
  </w:style>
  <w:style w:type="paragraph" w:customStyle="1" w:styleId="TabIntestazCentro">
    <w:name w:val="Tab Intestaz Centro"/>
    <w:basedOn w:val="TabIntestazioni"/>
    <w:uiPriority w:val="99"/>
    <w:rsid w:val="001E22D5"/>
    <w:pPr>
      <w:spacing w:before="0" w:after="20"/>
    </w:pPr>
  </w:style>
  <w:style w:type="paragraph" w:customStyle="1" w:styleId="TabIntestaCentroBordo">
    <w:name w:val="Tab Intesta Centro Bordo"/>
    <w:basedOn w:val="TabIntestazCentro"/>
    <w:uiPriority w:val="99"/>
    <w:rsid w:val="001E22D5"/>
    <w:pPr>
      <w:pBdr>
        <w:bottom w:val="single" w:sz="4" w:space="1" w:color="auto"/>
      </w:pBdr>
      <w:ind w:left="57" w:right="57"/>
    </w:pPr>
  </w:style>
  <w:style w:type="paragraph" w:customStyle="1" w:styleId="TabEtichette">
    <w:name w:val="Tab Etichette"/>
    <w:basedOn w:val="Normal"/>
    <w:uiPriority w:val="99"/>
    <w:rsid w:val="00B300CF"/>
    <w:pPr>
      <w:keepLines/>
      <w:spacing w:line="240" w:lineRule="auto"/>
      <w:ind w:firstLine="0"/>
      <w:jc w:val="left"/>
    </w:pPr>
    <w:rPr>
      <w:sz w:val="16"/>
    </w:rPr>
  </w:style>
  <w:style w:type="paragraph" w:customStyle="1" w:styleId="TabNumSuperiori">
    <w:name w:val="Tab Num Superiori"/>
    <w:basedOn w:val="TabNumeri"/>
    <w:uiPriority w:val="99"/>
    <w:rsid w:val="00BF4352"/>
    <w:pPr>
      <w:spacing w:before="40"/>
    </w:pPr>
  </w:style>
  <w:style w:type="paragraph" w:customStyle="1" w:styleId="Fineoggettoword">
    <w:name w:val="Fine oggetto word"/>
    <w:basedOn w:val="TabNoteInferiori"/>
    <w:uiPriority w:val="99"/>
    <w:rsid w:val="001E22D5"/>
    <w:rPr>
      <w:i/>
      <w:sz w:val="12"/>
    </w:rPr>
  </w:style>
  <w:style w:type="character" w:styleId="PageNumber">
    <w:name w:val="page number"/>
    <w:basedOn w:val="DefaultParagraphFont"/>
    <w:uiPriority w:val="99"/>
    <w:rsid w:val="001E22D5"/>
    <w:rPr>
      <w:rFonts w:ascii="Arial" w:hAnsi="Arial" w:cs="Times New Roman"/>
      <w:sz w:val="20"/>
    </w:rPr>
  </w:style>
  <w:style w:type="paragraph" w:customStyle="1" w:styleId="Intestazionecorsivo">
    <w:name w:val="Intestazione corsivo"/>
    <w:basedOn w:val="Normal"/>
    <w:uiPriority w:val="99"/>
    <w:rsid w:val="00521119"/>
    <w:pPr>
      <w:ind w:left="357" w:right="357" w:firstLine="0"/>
      <w:jc w:val="center"/>
    </w:pPr>
    <w:rPr>
      <w:i/>
      <w:noProof/>
      <w:sz w:val="16"/>
    </w:rPr>
  </w:style>
  <w:style w:type="paragraph" w:customStyle="1" w:styleId="Pidipaginacorsivo">
    <w:name w:val="Piè di pagina corsivo"/>
    <w:basedOn w:val="Normal"/>
    <w:uiPriority w:val="99"/>
    <w:rsid w:val="00521119"/>
    <w:pPr>
      <w:ind w:firstLine="0"/>
      <w:jc w:val="center"/>
    </w:pPr>
    <w:rPr>
      <w:i/>
      <w:sz w:val="16"/>
    </w:rPr>
  </w:style>
  <w:style w:type="paragraph" w:customStyle="1" w:styleId="TabEtichSuperiori">
    <w:name w:val="Tab Etich Superiori"/>
    <w:basedOn w:val="TabEtichette"/>
    <w:uiPriority w:val="99"/>
    <w:rsid w:val="00BF4352"/>
    <w:pPr>
      <w:spacing w:before="40"/>
    </w:pPr>
  </w:style>
  <w:style w:type="paragraph" w:customStyle="1" w:styleId="TabEtichInferiori">
    <w:name w:val="Tab Etich Inferiori"/>
    <w:basedOn w:val="TabEtichette"/>
    <w:uiPriority w:val="99"/>
    <w:rsid w:val="00BF4352"/>
    <w:pPr>
      <w:spacing w:after="40"/>
    </w:pPr>
  </w:style>
  <w:style w:type="paragraph" w:customStyle="1" w:styleId="TitoloParte">
    <w:name w:val="Titolo Parte"/>
    <w:basedOn w:val="Heading1"/>
    <w:uiPriority w:val="99"/>
    <w:rsid w:val="007C32E7"/>
    <w:rPr>
      <w:caps/>
      <w:sz w:val="36"/>
    </w:rPr>
  </w:style>
  <w:style w:type="character" w:styleId="FootnoteReference">
    <w:name w:val="footnote reference"/>
    <w:basedOn w:val="DefaultParagraphFont"/>
    <w:uiPriority w:val="99"/>
    <w:semiHidden/>
    <w:rsid w:val="00736E99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7C32E7"/>
  </w:style>
  <w:style w:type="paragraph" w:customStyle="1" w:styleId="autori">
    <w:name w:val="autori"/>
    <w:basedOn w:val="Normal"/>
    <w:uiPriority w:val="99"/>
    <w:rsid w:val="009135F2"/>
    <w:pPr>
      <w:ind w:left="57" w:right="57" w:firstLine="0"/>
      <w:jc w:val="left"/>
    </w:pPr>
    <w:rPr>
      <w:color w:val="800000"/>
      <w:sz w:val="18"/>
    </w:rPr>
  </w:style>
  <w:style w:type="paragraph" w:customStyle="1" w:styleId="Introduzionenormalecorsivo">
    <w:name w:val="Introduzione normale corsivo"/>
    <w:basedOn w:val="Normal"/>
    <w:uiPriority w:val="99"/>
    <w:rsid w:val="00B37865"/>
    <w:pPr>
      <w:spacing w:line="360" w:lineRule="auto"/>
    </w:pPr>
    <w:rPr>
      <w:rFonts w:cs="Arial"/>
      <w:i/>
    </w:rPr>
  </w:style>
  <w:style w:type="paragraph" w:styleId="Footer">
    <w:name w:val="footer"/>
    <w:basedOn w:val="Normal"/>
    <w:link w:val="FooterChar"/>
    <w:uiPriority w:val="99"/>
    <w:rsid w:val="00A00815"/>
    <w:pPr>
      <w:tabs>
        <w:tab w:val="center" w:pos="4819"/>
        <w:tab w:val="right" w:pos="9638"/>
      </w:tabs>
      <w:ind w:firstLine="0"/>
      <w:jc w:val="center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0815"/>
    <w:rPr>
      <w:rFonts w:ascii="Arial" w:hAnsi="Arial"/>
      <w:caps/>
    </w:rPr>
  </w:style>
  <w:style w:type="paragraph" w:styleId="BalloonText">
    <w:name w:val="Balloon Text"/>
    <w:basedOn w:val="Normal"/>
    <w:link w:val="BalloonTextChar"/>
    <w:uiPriority w:val="99"/>
    <w:rsid w:val="00CF17A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17A0"/>
    <w:rPr>
      <w:rFonts w:ascii="Tahoma" w:hAnsi="Tahoma"/>
      <w:sz w:val="16"/>
    </w:rPr>
  </w:style>
  <w:style w:type="paragraph" w:customStyle="1" w:styleId="Stileapprofnormale10ptGrassettoRossoscuroSinistro0">
    <w:name w:val="Stile approf_normale + 10 pt Grassetto Rosso scuro Sinistro:  0 ..."/>
    <w:basedOn w:val="Normal"/>
    <w:uiPriority w:val="99"/>
    <w:rsid w:val="002A2AE9"/>
    <w:pPr>
      <w:ind w:left="170" w:right="170" w:firstLine="0"/>
    </w:pPr>
    <w:rPr>
      <w:b/>
      <w:bCs/>
      <w:color w:val="800000"/>
    </w:rPr>
  </w:style>
  <w:style w:type="paragraph" w:styleId="BodyTextIndent">
    <w:name w:val="Body Text Indent"/>
    <w:basedOn w:val="Normal"/>
    <w:link w:val="BodyTextIndentChar"/>
    <w:uiPriority w:val="99"/>
    <w:rsid w:val="00A33FD6"/>
    <w:rPr>
      <w:color w:val="FF00FF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33FD6"/>
    <w:rPr>
      <w:rFonts w:ascii="Arial" w:hAnsi="Arial" w:cs="Times New Roman"/>
      <w:color w:val="FF00FF"/>
    </w:rPr>
  </w:style>
  <w:style w:type="paragraph" w:styleId="BodyTextIndent3">
    <w:name w:val="Body Text Indent 3"/>
    <w:basedOn w:val="Normal"/>
    <w:link w:val="BodyTextIndent3Char"/>
    <w:uiPriority w:val="99"/>
    <w:rsid w:val="00A33FD6"/>
    <w:rPr>
      <w:color w:val="00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33FD6"/>
    <w:rPr>
      <w:rFonts w:ascii="Arial" w:hAnsi="Arial" w:cs="Times New Roman"/>
      <w:color w:val="000000"/>
    </w:rPr>
  </w:style>
  <w:style w:type="paragraph" w:styleId="BodyTextIndent2">
    <w:name w:val="Body Text Indent 2"/>
    <w:basedOn w:val="Normal"/>
    <w:link w:val="BodyTextIndent2Char"/>
    <w:uiPriority w:val="99"/>
    <w:rsid w:val="00562C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62C51"/>
    <w:rPr>
      <w:rFonts w:ascii="Arial" w:hAnsi="Arial" w:cs="Times New Roman"/>
    </w:rPr>
  </w:style>
  <w:style w:type="character" w:customStyle="1" w:styleId="mw-headline">
    <w:name w:val="mw-headline"/>
    <w:uiPriority w:val="99"/>
    <w:rsid w:val="00162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\z_sistema\m_modelli\rap_eco_re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rap_eco_reg.dot</Template>
  <TotalTime>2</TotalTime>
  <Pages>7</Pages>
  <Words>2560</Words>
  <Characters>14593</Characters>
  <Application>Microsoft Office Outlook</Application>
  <DocSecurity>0</DocSecurity>
  <Lines>0</Lines>
  <Paragraphs>0</Paragraphs>
  <ScaleCrop>false</ScaleCrop>
  <Company>Unioncamere Emilia Romagna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L’economia regionale nel 2018</dc:title>
  <dc:subject/>
  <dc:creator>Mauro Guaitoli</dc:creator>
  <cp:keywords/>
  <dc:description/>
  <cp:lastModifiedBy>Anna Messina</cp:lastModifiedBy>
  <cp:revision>2</cp:revision>
  <dcterms:created xsi:type="dcterms:W3CDTF">2018-12-27T14:57:00Z</dcterms:created>
  <dcterms:modified xsi:type="dcterms:W3CDTF">2018-12-27T14:57:00Z</dcterms:modified>
</cp:coreProperties>
</file>